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FF" w:rsidRPr="001F21F3" w:rsidRDefault="001A56FF" w:rsidP="00B52BD0">
      <w:pPr>
        <w:jc w:val="left"/>
        <w:rPr>
          <w:rFonts w:ascii="仿宋_GB2312" w:eastAsia="仿宋_GB2312" w:hAnsi="仿宋"/>
          <w:sz w:val="28"/>
          <w:szCs w:val="28"/>
        </w:rPr>
      </w:pPr>
      <w:r w:rsidRPr="001F21F3">
        <w:rPr>
          <w:rFonts w:ascii="仿宋_GB2312" w:eastAsia="仿宋_GB2312" w:hAnsi="仿宋" w:hint="eastAsia"/>
          <w:sz w:val="28"/>
          <w:szCs w:val="28"/>
        </w:rPr>
        <w:t>附件</w:t>
      </w:r>
      <w:r>
        <w:rPr>
          <w:rFonts w:ascii="仿宋_GB2312" w:eastAsia="仿宋_GB2312" w:hAnsi="仿宋" w:hint="eastAsia"/>
          <w:sz w:val="28"/>
          <w:szCs w:val="28"/>
        </w:rPr>
        <w:t>一</w:t>
      </w:r>
      <w:bookmarkStart w:id="0" w:name="_GoBack"/>
      <w:bookmarkEnd w:id="0"/>
      <w:r w:rsidRPr="001F21F3">
        <w:rPr>
          <w:rFonts w:ascii="仿宋_GB2312" w:eastAsia="仿宋_GB2312" w:hAnsi="仿宋" w:hint="eastAsia"/>
          <w:sz w:val="28"/>
          <w:szCs w:val="28"/>
        </w:rPr>
        <w:t>：</w:t>
      </w:r>
    </w:p>
    <w:p w:rsidR="001A56FF" w:rsidRPr="001F21F3" w:rsidRDefault="001A56FF" w:rsidP="00B52BD0">
      <w:pPr>
        <w:jc w:val="center"/>
        <w:rPr>
          <w:rFonts w:ascii="仿宋_GB2312" w:eastAsia="仿宋_GB2312"/>
          <w:b/>
          <w:sz w:val="28"/>
          <w:szCs w:val="28"/>
        </w:rPr>
      </w:pPr>
      <w:r w:rsidRPr="001F21F3">
        <w:rPr>
          <w:rFonts w:ascii="仿宋_GB2312" w:eastAsia="仿宋_GB2312" w:hint="eastAsia"/>
          <w:b/>
          <w:sz w:val="28"/>
          <w:szCs w:val="28"/>
        </w:rPr>
        <w:t>广东省成人教育协会</w:t>
      </w:r>
      <w:r w:rsidRPr="001F21F3">
        <w:rPr>
          <w:rFonts w:ascii="仿宋_GB2312" w:eastAsia="仿宋_GB2312"/>
          <w:b/>
          <w:sz w:val="28"/>
          <w:szCs w:val="28"/>
        </w:rPr>
        <w:t>2014</w:t>
      </w:r>
      <w:r w:rsidRPr="001F21F3">
        <w:rPr>
          <w:rFonts w:ascii="仿宋_GB2312" w:eastAsia="仿宋_GB2312"/>
          <w:b/>
          <w:sz w:val="28"/>
          <w:szCs w:val="28"/>
        </w:rPr>
        <w:t>—</w:t>
      </w:r>
      <w:r w:rsidRPr="001F21F3">
        <w:rPr>
          <w:rFonts w:ascii="仿宋_GB2312" w:eastAsia="仿宋_GB2312"/>
          <w:b/>
          <w:sz w:val="28"/>
          <w:szCs w:val="28"/>
        </w:rPr>
        <w:t>2015</w:t>
      </w:r>
      <w:r w:rsidRPr="001F21F3">
        <w:rPr>
          <w:rFonts w:ascii="仿宋_GB2312" w:eastAsia="仿宋_GB2312" w:hint="eastAsia"/>
          <w:b/>
          <w:sz w:val="28"/>
          <w:szCs w:val="28"/>
        </w:rPr>
        <w:t>年度成人教育</w:t>
      </w:r>
    </w:p>
    <w:p w:rsidR="001A56FF" w:rsidRPr="001F21F3" w:rsidRDefault="001A56FF" w:rsidP="00B52BD0">
      <w:pPr>
        <w:jc w:val="center"/>
        <w:rPr>
          <w:rFonts w:ascii="仿宋_GB2312" w:eastAsia="仿宋_GB2312"/>
          <w:b/>
          <w:sz w:val="28"/>
          <w:szCs w:val="28"/>
        </w:rPr>
      </w:pPr>
      <w:r w:rsidRPr="001F21F3">
        <w:rPr>
          <w:rFonts w:ascii="仿宋_GB2312" w:eastAsia="仿宋_GB2312" w:hint="eastAsia"/>
          <w:b/>
          <w:sz w:val="28"/>
          <w:szCs w:val="28"/>
        </w:rPr>
        <w:t>科研规划课题立项名单</w:t>
      </w:r>
    </w:p>
    <w:p w:rsidR="001A56FF" w:rsidRPr="001F21F3" w:rsidRDefault="001A56FF" w:rsidP="00B52BD0">
      <w:pPr>
        <w:pStyle w:val="ListParagraph"/>
        <w:numPr>
          <w:ilvl w:val="0"/>
          <w:numId w:val="1"/>
        </w:numPr>
        <w:ind w:firstLineChars="0"/>
        <w:jc w:val="left"/>
        <w:rPr>
          <w:rFonts w:ascii="仿宋_GB2312" w:eastAsia="仿宋_GB2312"/>
          <w:sz w:val="28"/>
          <w:szCs w:val="28"/>
        </w:rPr>
      </w:pPr>
      <w:r w:rsidRPr="001F21F3">
        <w:rPr>
          <w:rFonts w:ascii="仿宋_GB2312" w:eastAsia="仿宋_GB2312" w:hint="eastAsia"/>
          <w:sz w:val="28"/>
          <w:szCs w:val="28"/>
        </w:rPr>
        <w:t>重点课题（</w:t>
      </w:r>
      <w:r w:rsidRPr="001F21F3">
        <w:rPr>
          <w:rFonts w:ascii="仿宋_GB2312" w:eastAsia="仿宋_GB2312"/>
          <w:sz w:val="28"/>
          <w:szCs w:val="28"/>
        </w:rPr>
        <w:t>15</w:t>
      </w:r>
      <w:r w:rsidRPr="001F21F3">
        <w:rPr>
          <w:rFonts w:ascii="仿宋_GB2312" w:eastAsia="仿宋_GB2312" w:hint="eastAsia"/>
          <w:sz w:val="28"/>
          <w:szCs w:val="28"/>
        </w:rPr>
        <w:t>项）</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3590"/>
        <w:gridCol w:w="1080"/>
        <w:gridCol w:w="2236"/>
        <w:gridCol w:w="1440"/>
      </w:tblGrid>
      <w:tr w:rsidR="001A56FF" w:rsidRPr="001F21F3" w:rsidTr="00CA76AB">
        <w:trPr>
          <w:trHeight w:val="772"/>
          <w:jc w:val="center"/>
        </w:trPr>
        <w:tc>
          <w:tcPr>
            <w:tcW w:w="737" w:type="dxa"/>
            <w:vAlign w:val="center"/>
          </w:tcPr>
          <w:p w:rsidR="001A56FF" w:rsidRPr="001F21F3" w:rsidRDefault="001A56FF" w:rsidP="00CA76AB">
            <w:pP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序号</w:t>
            </w:r>
          </w:p>
        </w:tc>
        <w:tc>
          <w:tcPr>
            <w:tcW w:w="3590" w:type="dxa"/>
            <w:vAlign w:val="center"/>
          </w:tcPr>
          <w:p w:rsidR="001A56FF" w:rsidRPr="001F21F3" w:rsidRDefault="001A56FF" w:rsidP="00CA76AB">
            <w:pPr>
              <w:spacing w:line="480"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课题名称</w:t>
            </w:r>
          </w:p>
        </w:tc>
        <w:tc>
          <w:tcPr>
            <w:tcW w:w="1080"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课题</w:t>
            </w:r>
          </w:p>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负责人</w:t>
            </w:r>
          </w:p>
        </w:tc>
        <w:tc>
          <w:tcPr>
            <w:tcW w:w="2236" w:type="dxa"/>
            <w:vAlign w:val="center"/>
          </w:tcPr>
          <w:p w:rsidR="001A56FF" w:rsidRPr="001F21F3" w:rsidRDefault="001A56FF" w:rsidP="00CA76AB">
            <w:pPr>
              <w:spacing w:line="480"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单位名称</w:t>
            </w:r>
          </w:p>
        </w:tc>
        <w:tc>
          <w:tcPr>
            <w:tcW w:w="1440" w:type="dxa"/>
            <w:vAlign w:val="center"/>
          </w:tcPr>
          <w:p w:rsidR="001A56FF" w:rsidRPr="001F21F3" w:rsidRDefault="001A56FF" w:rsidP="00CA76AB">
            <w:pPr>
              <w:spacing w:line="480"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课程编号</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sz w:val="24"/>
                <w:szCs w:val="24"/>
              </w:rPr>
              <w:t>MOOC</w:t>
            </w:r>
            <w:r w:rsidRPr="001F21F3">
              <w:rPr>
                <w:rFonts w:ascii="仿宋_GB2312" w:eastAsia="仿宋_GB2312" w:hAnsi="仿宋" w:hint="eastAsia"/>
                <w:sz w:val="24"/>
                <w:szCs w:val="24"/>
              </w:rPr>
              <w:t>的机遇与挑战：高等教育自学考试面临的新问题与新思考</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韩兆洲</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暨南大学教育学院</w:t>
            </w:r>
          </w:p>
        </w:tc>
        <w:tc>
          <w:tcPr>
            <w:tcW w:w="1440" w:type="dxa"/>
            <w:vAlign w:val="center"/>
          </w:tcPr>
          <w:p w:rsidR="001A56FF" w:rsidRPr="001F21F3" w:rsidRDefault="001A56FF" w:rsidP="00CA76AB">
            <w:pPr>
              <w:jc w:val="center"/>
              <w:rPr>
                <w:rFonts w:ascii="仿宋_GB2312" w:eastAsia="仿宋_GB2312"/>
                <w:sz w:val="24"/>
                <w:szCs w:val="24"/>
              </w:rPr>
            </w:pPr>
            <w:r w:rsidRPr="001F21F3">
              <w:rPr>
                <w:rFonts w:ascii="仿宋_GB2312" w:eastAsia="仿宋_GB2312"/>
                <w:sz w:val="24"/>
                <w:szCs w:val="24"/>
              </w:rPr>
              <w:t>Ycx141001</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2</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广东省普通高校成人教育学生学习困境调查研究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唐燕儿</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暨南大学教育学院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Ycx141002</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3</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sz w:val="24"/>
                <w:szCs w:val="24"/>
              </w:rPr>
              <w:t>MOOCs(</w:t>
            </w:r>
            <w:r w:rsidRPr="001F21F3">
              <w:rPr>
                <w:rFonts w:ascii="仿宋_GB2312" w:eastAsia="仿宋_GB2312" w:hAnsi="仿宋" w:hint="eastAsia"/>
                <w:sz w:val="24"/>
                <w:szCs w:val="24"/>
              </w:rPr>
              <w:t>慕课</w:t>
            </w:r>
            <w:r w:rsidRPr="001F21F3">
              <w:rPr>
                <w:rFonts w:ascii="仿宋_GB2312" w:eastAsia="仿宋_GB2312" w:hAnsi="仿宋"/>
                <w:sz w:val="24"/>
                <w:szCs w:val="24"/>
              </w:rPr>
              <w:t>)</w:t>
            </w:r>
            <w:r w:rsidRPr="001F21F3">
              <w:rPr>
                <w:rFonts w:ascii="仿宋_GB2312" w:eastAsia="仿宋_GB2312" w:hAnsi="仿宋" w:hint="eastAsia"/>
                <w:sz w:val="24"/>
                <w:szCs w:val="24"/>
              </w:rPr>
              <w:t>、微课等信息技术融入成人教育教学影响研究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吕晓芹</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华南理工大学</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Ycx141003</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4</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面对教育市场竞争下，成人高等教育自律机制的研究与实践</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谢光汉</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广东工业大学继续教育学院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Ycx141004</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5</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医学院校成人继续教育质量评价方法研究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沈玉洁</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Ycx141005</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6</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基于医学知识库构建成教医药数字资源建设</w:t>
            </w:r>
            <w:r w:rsidRPr="001F21F3">
              <w:rPr>
                <w:rFonts w:ascii="仿宋_GB2312" w:eastAsia="仿宋_GB2312" w:hAnsi="仿宋"/>
                <w:sz w:val="24"/>
                <w:szCs w:val="24"/>
              </w:rPr>
              <w:t>--</w:t>
            </w:r>
            <w:r w:rsidRPr="001F21F3">
              <w:rPr>
                <w:rFonts w:ascii="仿宋_GB2312" w:eastAsia="仿宋_GB2312" w:hAnsi="仿宋" w:hint="eastAsia"/>
                <w:sz w:val="24"/>
                <w:szCs w:val="24"/>
              </w:rPr>
              <w:t>以药理学知识库特色资源为例</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王海燕</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广东医学院图书馆</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Ycx141006</w:t>
            </w:r>
          </w:p>
        </w:tc>
      </w:tr>
      <w:tr w:rsidR="001A56FF" w:rsidRPr="001F21F3" w:rsidTr="00CA76AB">
        <w:trPr>
          <w:trHeight w:val="401"/>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7</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社区学习共同体生成实验与探索：以中山市西区为例</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徐文泽</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广东工程职业技术学院继续教育学院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Ycx141007</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8</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开放大学学习支持服务标准研究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凌玲</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广东开放大学</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Ycx141008</w:t>
            </w:r>
          </w:p>
        </w:tc>
      </w:tr>
      <w:tr w:rsidR="001A56FF" w:rsidRPr="001F21F3" w:rsidTr="00CA76AB">
        <w:trPr>
          <w:trHeight w:val="443"/>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9</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广东终身教育立法研究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刘树桥</w:t>
            </w:r>
          </w:p>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陈碧红</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广东司法警官职业学院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Ycx141009</w:t>
            </w:r>
          </w:p>
        </w:tc>
      </w:tr>
      <w:tr w:rsidR="001A56FF" w:rsidRPr="001F21F3" w:rsidTr="00CA76AB">
        <w:trPr>
          <w:trHeight w:val="370"/>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10</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终身教育发展与“中国梦”实现的内在关系研究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石文斌</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东莞职业技术学院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Ycx141010</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11</w:t>
            </w:r>
          </w:p>
        </w:tc>
        <w:tc>
          <w:tcPr>
            <w:tcW w:w="3590" w:type="dxa"/>
            <w:vAlign w:val="center"/>
          </w:tcPr>
          <w:p w:rsidR="001A56FF" w:rsidRPr="001F21F3" w:rsidRDefault="001A56FF" w:rsidP="00CA76AB">
            <w:pPr>
              <w:spacing w:line="400" w:lineRule="exact"/>
              <w:jc w:val="left"/>
              <w:rPr>
                <w:rFonts w:ascii="仿宋_GB2312" w:eastAsia="仿宋_GB2312" w:hAnsi="仿宋"/>
                <w:sz w:val="24"/>
                <w:szCs w:val="24"/>
              </w:rPr>
            </w:pPr>
            <w:r w:rsidRPr="001F21F3">
              <w:rPr>
                <w:rFonts w:ascii="仿宋_GB2312" w:eastAsia="仿宋_GB2312" w:hAnsi="仿宋" w:hint="eastAsia"/>
                <w:sz w:val="24"/>
                <w:szCs w:val="24"/>
              </w:rPr>
              <w:t>构建“学校</w:t>
            </w:r>
            <w:r w:rsidRPr="001F21F3">
              <w:rPr>
                <w:rFonts w:ascii="仿宋_GB2312" w:eastAsia="仿宋_GB2312" w:hAnsi="仿宋"/>
                <w:sz w:val="24"/>
                <w:szCs w:val="24"/>
              </w:rPr>
              <w:t>-</w:t>
            </w:r>
            <w:r w:rsidRPr="001F21F3">
              <w:rPr>
                <w:rFonts w:ascii="仿宋_GB2312" w:eastAsia="仿宋_GB2312" w:hAnsi="仿宋" w:hint="eastAsia"/>
                <w:sz w:val="24"/>
                <w:szCs w:val="24"/>
              </w:rPr>
              <w:t>社区”教育共同体，提升外来务工青年增值培训质量</w:t>
            </w:r>
            <w:r w:rsidRPr="001F21F3">
              <w:rPr>
                <w:rFonts w:ascii="仿宋_GB2312" w:eastAsia="仿宋_GB2312" w:hAnsi="仿宋"/>
                <w:sz w:val="24"/>
                <w:szCs w:val="24"/>
              </w:rPr>
              <w:t>——</w:t>
            </w:r>
            <w:r w:rsidRPr="001F21F3">
              <w:rPr>
                <w:rFonts w:ascii="仿宋_GB2312" w:eastAsia="仿宋_GB2312" w:hAnsi="仿宋" w:hint="eastAsia"/>
                <w:sz w:val="24"/>
                <w:szCs w:val="24"/>
              </w:rPr>
              <w:t>以珠海市为例</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黄茂勇</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珠海城市职业技术学院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Ycx141011</w:t>
            </w:r>
          </w:p>
        </w:tc>
      </w:tr>
      <w:tr w:rsidR="001A56FF" w:rsidRPr="001F21F3" w:rsidTr="00CA76AB">
        <w:trPr>
          <w:trHeight w:val="440"/>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12</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在职医学类学生继续教育学习困境调查及对策研究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吴彤</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广州医科大学卫生职业技术学院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Ycx141012</w:t>
            </w:r>
          </w:p>
        </w:tc>
      </w:tr>
      <w:tr w:rsidR="001A56FF" w:rsidRPr="001F21F3" w:rsidTr="00CA76AB">
        <w:trPr>
          <w:trHeight w:val="440"/>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13</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广东省农村劳动力转移教育培训实效研究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郑伟光</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广东机电职业技术学院继续教育学院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Ycx141013</w:t>
            </w:r>
          </w:p>
        </w:tc>
      </w:tr>
      <w:tr w:rsidR="001A56FF" w:rsidRPr="001F21F3" w:rsidTr="00CA76AB">
        <w:trPr>
          <w:trHeight w:val="440"/>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14</w:t>
            </w:r>
          </w:p>
        </w:tc>
        <w:tc>
          <w:tcPr>
            <w:tcW w:w="3590"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sz w:val="24"/>
                <w:szCs w:val="24"/>
              </w:rPr>
              <w:t>MOOC</w:t>
            </w:r>
            <w:r w:rsidRPr="001F21F3">
              <w:rPr>
                <w:rFonts w:ascii="仿宋_GB2312" w:eastAsia="仿宋_GB2312" w:hAnsi="仿宋" w:hint="eastAsia"/>
                <w:sz w:val="24"/>
                <w:szCs w:val="24"/>
              </w:rPr>
              <w:t>在成人教学中的应用研究</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蔡惠京</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中山市广播电视大学</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Ycx141014</w:t>
            </w:r>
          </w:p>
        </w:tc>
      </w:tr>
      <w:tr w:rsidR="001A56FF" w:rsidRPr="001F21F3" w:rsidTr="00CA76AB">
        <w:trPr>
          <w:trHeight w:val="440"/>
          <w:jc w:val="center"/>
        </w:trPr>
        <w:tc>
          <w:tcPr>
            <w:tcW w:w="737"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sz w:val="24"/>
                <w:szCs w:val="24"/>
              </w:rPr>
              <w:t>15</w:t>
            </w:r>
          </w:p>
        </w:tc>
        <w:tc>
          <w:tcPr>
            <w:tcW w:w="3590" w:type="dxa"/>
            <w:vAlign w:val="center"/>
          </w:tcPr>
          <w:p w:rsidR="001A56FF" w:rsidRPr="001F21F3" w:rsidRDefault="001A56FF" w:rsidP="00CA76AB">
            <w:pPr>
              <w:spacing w:line="400" w:lineRule="exact"/>
              <w:jc w:val="left"/>
              <w:rPr>
                <w:rFonts w:ascii="仿宋_GB2312" w:eastAsia="仿宋_GB2312" w:hAnsi="仿宋"/>
                <w:sz w:val="24"/>
                <w:szCs w:val="24"/>
              </w:rPr>
            </w:pPr>
            <w:r w:rsidRPr="001F21F3">
              <w:rPr>
                <w:rFonts w:ascii="仿宋_GB2312" w:eastAsia="仿宋_GB2312" w:hAnsi="仿宋" w:hint="eastAsia"/>
                <w:sz w:val="24"/>
                <w:szCs w:val="24"/>
              </w:rPr>
              <w:t>构建终身教育体系和学习型社会的路径与机制研究</w:t>
            </w:r>
            <w:r w:rsidRPr="001F21F3">
              <w:rPr>
                <w:rFonts w:ascii="仿宋_GB2312" w:eastAsia="仿宋_GB2312" w:hAnsi="仿宋"/>
                <w:sz w:val="24"/>
                <w:szCs w:val="24"/>
              </w:rPr>
              <w:t>—</w:t>
            </w:r>
            <w:r w:rsidRPr="001F21F3">
              <w:rPr>
                <w:rFonts w:ascii="仿宋_GB2312" w:eastAsia="仿宋_GB2312" w:hAnsi="仿宋" w:hint="eastAsia"/>
                <w:sz w:val="24"/>
                <w:szCs w:val="24"/>
              </w:rPr>
              <w:t>以东莞为例</w:t>
            </w:r>
          </w:p>
        </w:tc>
        <w:tc>
          <w:tcPr>
            <w:tcW w:w="108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刘健</w:t>
            </w:r>
          </w:p>
        </w:tc>
        <w:tc>
          <w:tcPr>
            <w:tcW w:w="2236"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东莞理工学院继续教育学院</w:t>
            </w:r>
          </w:p>
        </w:tc>
        <w:tc>
          <w:tcPr>
            <w:tcW w:w="1440"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Ycx141015</w:t>
            </w:r>
          </w:p>
        </w:tc>
      </w:tr>
    </w:tbl>
    <w:p w:rsidR="001A56FF" w:rsidRPr="001F21F3" w:rsidRDefault="001A56FF" w:rsidP="00B52BD0">
      <w:pPr>
        <w:rPr>
          <w:rFonts w:ascii="仿宋_GB2312" w:eastAsia="仿宋_GB2312" w:hAnsi="仿宋" w:cs="宋体"/>
          <w:bCs/>
          <w:kern w:val="36"/>
          <w:sz w:val="28"/>
          <w:szCs w:val="28"/>
        </w:rPr>
      </w:pPr>
      <w:r w:rsidRPr="001F21F3">
        <w:rPr>
          <w:rFonts w:ascii="仿宋_GB2312" w:eastAsia="仿宋_GB2312" w:hAnsi="仿宋" w:hint="eastAsia"/>
          <w:sz w:val="28"/>
          <w:szCs w:val="28"/>
        </w:rPr>
        <w:t>二、一般课题</w:t>
      </w:r>
      <w:r w:rsidRPr="001F21F3">
        <w:rPr>
          <w:rFonts w:ascii="仿宋_GB2312" w:eastAsia="仿宋_GB2312" w:hAnsi="仿宋" w:cs="宋体" w:hint="eastAsia"/>
          <w:bCs/>
          <w:kern w:val="36"/>
          <w:sz w:val="28"/>
          <w:szCs w:val="28"/>
        </w:rPr>
        <w:t>（</w:t>
      </w:r>
      <w:r w:rsidRPr="001F21F3">
        <w:rPr>
          <w:rFonts w:ascii="仿宋_GB2312" w:eastAsia="仿宋_GB2312" w:hAnsi="仿宋" w:cs="宋体"/>
          <w:bCs/>
          <w:kern w:val="36"/>
          <w:sz w:val="28"/>
          <w:szCs w:val="28"/>
        </w:rPr>
        <w:t>34</w:t>
      </w:r>
      <w:r w:rsidRPr="001F21F3">
        <w:rPr>
          <w:rFonts w:ascii="仿宋_GB2312" w:eastAsia="仿宋_GB2312" w:hAnsi="仿宋" w:cs="宋体" w:hint="eastAsia"/>
          <w:bCs/>
          <w:kern w:val="36"/>
          <w:sz w:val="28"/>
          <w:szCs w:val="28"/>
        </w:rPr>
        <w:t>项）</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3402"/>
        <w:gridCol w:w="964"/>
        <w:gridCol w:w="2351"/>
        <w:gridCol w:w="1304"/>
      </w:tblGrid>
      <w:tr w:rsidR="001A56FF" w:rsidRPr="001F21F3" w:rsidTr="00CA76AB">
        <w:trPr>
          <w:trHeight w:val="850"/>
          <w:jc w:val="center"/>
        </w:trPr>
        <w:tc>
          <w:tcPr>
            <w:tcW w:w="737"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序号</w:t>
            </w:r>
          </w:p>
        </w:tc>
        <w:tc>
          <w:tcPr>
            <w:tcW w:w="3402"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课题名称</w:t>
            </w:r>
          </w:p>
        </w:tc>
        <w:tc>
          <w:tcPr>
            <w:tcW w:w="964"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课题</w:t>
            </w:r>
          </w:p>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负责人</w:t>
            </w:r>
          </w:p>
        </w:tc>
        <w:tc>
          <w:tcPr>
            <w:tcW w:w="2351"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单位名称</w:t>
            </w:r>
          </w:p>
        </w:tc>
        <w:tc>
          <w:tcPr>
            <w:tcW w:w="1304" w:type="dxa"/>
            <w:vAlign w:val="center"/>
          </w:tcPr>
          <w:p w:rsidR="001A56FF" w:rsidRPr="001F21F3" w:rsidRDefault="001A56FF" w:rsidP="00CA76AB">
            <w:pPr>
              <w:spacing w:line="276" w:lineRule="auto"/>
              <w:jc w:val="center"/>
              <w:rPr>
                <w:rFonts w:ascii="仿宋_GB2312" w:eastAsia="仿宋_GB2312" w:hAnsi="仿宋" w:cs="宋体"/>
                <w:b/>
                <w:bCs/>
                <w:kern w:val="36"/>
                <w:sz w:val="24"/>
                <w:szCs w:val="24"/>
              </w:rPr>
            </w:pPr>
            <w:r w:rsidRPr="001F21F3">
              <w:rPr>
                <w:rFonts w:ascii="仿宋_GB2312" w:eastAsia="仿宋_GB2312" w:hAnsi="仿宋" w:cs="宋体" w:hint="eastAsia"/>
                <w:b/>
                <w:bCs/>
                <w:kern w:val="36"/>
                <w:sz w:val="24"/>
                <w:szCs w:val="24"/>
              </w:rPr>
              <w:t>课程编号</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面临</w:t>
            </w:r>
            <w:r w:rsidRPr="001F21F3">
              <w:rPr>
                <w:rFonts w:ascii="仿宋_GB2312" w:eastAsia="仿宋_GB2312" w:hAnsi="仿宋"/>
                <w:sz w:val="24"/>
                <w:szCs w:val="24"/>
              </w:rPr>
              <w:t>MOOC</w:t>
            </w:r>
            <w:r w:rsidRPr="001F21F3">
              <w:rPr>
                <w:rFonts w:ascii="仿宋_GB2312" w:eastAsia="仿宋_GB2312" w:hAnsi="仿宋" w:hint="eastAsia"/>
                <w:sz w:val="24"/>
                <w:szCs w:val="24"/>
              </w:rPr>
              <w:t>挑战，成人教育教学方法改革研究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曾牧</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暨南大学教育学院</w:t>
            </w:r>
          </w:p>
        </w:tc>
        <w:tc>
          <w:tcPr>
            <w:tcW w:w="1304" w:type="dxa"/>
            <w:vAlign w:val="center"/>
          </w:tcPr>
          <w:p w:rsidR="001A56FF" w:rsidRPr="001F21F3" w:rsidRDefault="001A56FF" w:rsidP="00CA76AB">
            <w:pPr>
              <w:jc w:val="center"/>
              <w:rPr>
                <w:rFonts w:ascii="仿宋_GB2312" w:eastAsia="仿宋_GB2312"/>
                <w:sz w:val="24"/>
                <w:szCs w:val="24"/>
              </w:rPr>
            </w:pPr>
            <w:r w:rsidRPr="001F21F3">
              <w:rPr>
                <w:rFonts w:ascii="仿宋_GB2312" w:eastAsia="仿宋_GB2312"/>
                <w:sz w:val="24"/>
                <w:szCs w:val="24"/>
              </w:rPr>
              <w:t>Ycx142001</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当前广东省成人在职学习困境调查</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卢慧芳</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广东开放大学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Ycx142002</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3</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cs="宋体"/>
                <w:kern w:val="0"/>
                <w:sz w:val="24"/>
                <w:szCs w:val="24"/>
              </w:rPr>
              <w:t>MOOCs(</w:t>
            </w:r>
            <w:r w:rsidRPr="001F21F3">
              <w:rPr>
                <w:rFonts w:ascii="仿宋_GB2312" w:eastAsia="仿宋_GB2312" w:hAnsi="仿宋" w:cs="宋体" w:hint="eastAsia"/>
                <w:kern w:val="0"/>
                <w:sz w:val="24"/>
                <w:szCs w:val="24"/>
              </w:rPr>
              <w:t>慕课</w:t>
            </w:r>
            <w:r w:rsidRPr="001F21F3">
              <w:rPr>
                <w:rFonts w:ascii="仿宋_GB2312" w:eastAsia="仿宋_GB2312" w:hAnsi="仿宋" w:cs="宋体"/>
                <w:kern w:val="0"/>
                <w:sz w:val="24"/>
                <w:szCs w:val="24"/>
              </w:rPr>
              <w:t>)</w:t>
            </w:r>
            <w:r w:rsidRPr="001F21F3">
              <w:rPr>
                <w:rFonts w:ascii="仿宋_GB2312" w:eastAsia="仿宋_GB2312" w:hAnsi="仿宋" w:cs="宋体" w:hint="eastAsia"/>
                <w:kern w:val="0"/>
                <w:sz w:val="24"/>
                <w:szCs w:val="24"/>
              </w:rPr>
              <w:t>、微课等信息技术融入成人教育教学影响研究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万英娟</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广东开放大学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Ycx142003</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4</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pacing w:val="-20"/>
                <w:sz w:val="24"/>
                <w:szCs w:val="24"/>
              </w:rPr>
              <w:t>普通高校成人教育校外教学点质量监控与评估体系的研究与实践</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刘成有</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广东石油化工学院继续教育学院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Ycx142004</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5</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成人高等教育质量评价及监控机制研究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胡生泳</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广东石油化工学院成人教育学院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Ycx142005</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6</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网络平台在终身教育体系中的角色功能及构建模式研究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刘影</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广东行政职业学院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Ycx142006</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7</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高校图书馆个性化信息服务在成人医学教育信息挖掘中的应用和探索</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彭晓红</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广东医学院图书馆</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Ycx142007</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8</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医学检验专业成人教育课程设置的现状与优化</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阮杰</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Ycx142008</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9</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三维动画类微课在成人医学教育中的应用研究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孙嘉</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Ycx142009</w:t>
            </w:r>
          </w:p>
        </w:tc>
      </w:tr>
      <w:tr w:rsidR="001A56FF" w:rsidRPr="001F21F3" w:rsidTr="00CA76AB">
        <w:trPr>
          <w:trHeight w:val="414"/>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10</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在职护士对于终身教育的需求调查与对策研究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王位琼</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sz w:val="24"/>
                <w:szCs w:val="24"/>
              </w:rPr>
            </w:pPr>
            <w:r w:rsidRPr="001F21F3">
              <w:rPr>
                <w:rFonts w:ascii="仿宋_GB2312" w:eastAsia="仿宋_GB2312"/>
                <w:sz w:val="24"/>
                <w:szCs w:val="24"/>
              </w:rPr>
              <w:t>Ycx142010</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11</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基于网络的《麻醉解剖学》教学资源库建设，</w:t>
            </w:r>
            <w:r w:rsidRPr="001F21F3">
              <w:rPr>
                <w:rFonts w:ascii="仿宋_GB2312" w:eastAsia="仿宋_GB2312" w:hAnsi="仿宋" w:hint="eastAsia"/>
                <w:kern w:val="24"/>
                <w:sz w:val="24"/>
                <w:szCs w:val="24"/>
              </w:rPr>
              <w:t>构建社会终身学习网络平台</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吴天秀</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Ycx142011</w:t>
            </w:r>
          </w:p>
        </w:tc>
      </w:tr>
      <w:tr w:rsidR="001A56FF" w:rsidRPr="001F21F3" w:rsidTr="00CA76AB">
        <w:trPr>
          <w:trHeight w:val="385"/>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12</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《病原生物学》成人教育在线网络课程</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陈敏</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Ycx142012</w:t>
            </w:r>
          </w:p>
        </w:tc>
      </w:tr>
      <w:tr w:rsidR="001A56FF" w:rsidRPr="001F21F3" w:rsidTr="00CA76AB">
        <w:trPr>
          <w:trHeight w:val="461"/>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13</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构建创新型现代终身教育体系</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典灵辉</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Ycx142013</w:t>
            </w:r>
          </w:p>
        </w:tc>
      </w:tr>
      <w:tr w:rsidR="001A56FF" w:rsidRPr="001F21F3" w:rsidTr="00CA76AB">
        <w:trPr>
          <w:trHeight w:val="521"/>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14</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成人英语学习倦怠实证研究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段其伟</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Ycx142014</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15</w:t>
            </w:r>
          </w:p>
        </w:tc>
        <w:tc>
          <w:tcPr>
            <w:tcW w:w="3402" w:type="dxa"/>
            <w:vAlign w:val="center"/>
          </w:tcPr>
          <w:p w:rsidR="001A56FF" w:rsidRPr="001F21F3" w:rsidRDefault="001A56FF" w:rsidP="00CA76AB">
            <w:pPr>
              <w:adjustRightInd w:val="0"/>
              <w:snapToGrid w:val="0"/>
              <w:jc w:val="left"/>
              <w:rPr>
                <w:rFonts w:ascii="仿宋_GB2312" w:eastAsia="仿宋_GB2312" w:hAnsi="仿宋"/>
                <w:sz w:val="24"/>
                <w:szCs w:val="24"/>
              </w:rPr>
            </w:pPr>
            <w:r w:rsidRPr="001F21F3">
              <w:rPr>
                <w:rFonts w:ascii="仿宋_GB2312" w:eastAsia="仿宋_GB2312" w:hAnsi="仿宋"/>
                <w:sz w:val="24"/>
                <w:szCs w:val="24"/>
              </w:rPr>
              <w:t>MOOCs</w:t>
            </w:r>
            <w:r w:rsidRPr="001F21F3">
              <w:rPr>
                <w:rFonts w:ascii="仿宋_GB2312" w:eastAsia="仿宋_GB2312" w:hAnsi="仿宋" w:hint="eastAsia"/>
                <w:sz w:val="24"/>
                <w:szCs w:val="24"/>
              </w:rPr>
              <w:t>主导的信息化环境下学历导向的成人高等教育有效学习方法研究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张洪</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Ycx142015</w:t>
            </w:r>
          </w:p>
        </w:tc>
      </w:tr>
      <w:tr w:rsidR="001A56FF" w:rsidRPr="001F21F3" w:rsidTr="00CA76AB">
        <w:trPr>
          <w:trHeight w:val="451"/>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16</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成人高等教育学分互认制度研究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张瑜</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Ycx142016</w:t>
            </w:r>
          </w:p>
        </w:tc>
      </w:tr>
      <w:tr w:rsidR="001A56FF" w:rsidRPr="001F21F3" w:rsidTr="00CA76AB">
        <w:trPr>
          <w:trHeight w:val="457"/>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17</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成人学习型组织创建的调查研究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左伟</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Ycx142017</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18</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终身教育立法研究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罗敏</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广东医学院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Ycx142018</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19</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以高职成人教育为依托的多元开放式社会终身学习平台研究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廖毅强</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广东轻工职业技术学院继续教育学院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Ycx142019</w:t>
            </w:r>
          </w:p>
        </w:tc>
      </w:tr>
      <w:tr w:rsidR="001A56FF" w:rsidRPr="001F21F3" w:rsidTr="00CA76AB">
        <w:trPr>
          <w:trHeight w:val="423"/>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20</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终身教育背景下面向成人的艺术设计网络远程教育实践研究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周大鹏</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广东轻工职业技术学院继续教育学院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Ycx142020</w:t>
            </w:r>
          </w:p>
        </w:tc>
      </w:tr>
      <w:tr w:rsidR="001A56FF" w:rsidRPr="001F21F3" w:rsidTr="00CA76AB">
        <w:trPr>
          <w:trHeight w:val="457"/>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21</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电大成人学习现状与对策研究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蔡俊杰</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广东肇庆广播电视大学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Ycx142021</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22</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成人高校学生管理策略研究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韩丽萍</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中山市广播电视大学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Ycx142022</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23</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终身教育视域下社区教育课程开发研究</w:t>
            </w:r>
            <w:r w:rsidRPr="001F21F3">
              <w:rPr>
                <w:rFonts w:ascii="仿宋_GB2312" w:eastAsia="仿宋_GB2312" w:hAnsi="仿宋"/>
                <w:sz w:val="24"/>
                <w:szCs w:val="24"/>
              </w:rPr>
              <w:t>——</w:t>
            </w:r>
            <w:r w:rsidRPr="001F21F3">
              <w:rPr>
                <w:rFonts w:ascii="仿宋_GB2312" w:eastAsia="仿宋_GB2312" w:hAnsi="仿宋" w:hint="eastAsia"/>
                <w:sz w:val="24"/>
                <w:szCs w:val="24"/>
              </w:rPr>
              <w:t>以珠海社区大学为例</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肖莉琴</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珠海广播电视大学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Ycx142023</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24</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成人学生自主学习能力培养研究</w:t>
            </w:r>
            <w:r w:rsidRPr="001F21F3">
              <w:rPr>
                <w:rFonts w:ascii="仿宋_GB2312" w:eastAsia="仿宋_GB2312" w:hAnsi="仿宋"/>
                <w:sz w:val="24"/>
                <w:szCs w:val="24"/>
              </w:rPr>
              <w:t>--</w:t>
            </w:r>
            <w:r w:rsidRPr="001F21F3">
              <w:rPr>
                <w:rFonts w:ascii="仿宋_GB2312" w:eastAsia="仿宋_GB2312" w:hAnsi="仿宋" w:hint="eastAsia"/>
                <w:sz w:val="24"/>
                <w:szCs w:val="24"/>
              </w:rPr>
              <w:t>以珠海电大成人教育学生为例</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卢兰凤</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珠海广播电视大学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Ycx142024</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25</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英国学习型城市建设体系的研究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杨文明</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深圳职业技术学院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Ycx142025</w:t>
            </w:r>
          </w:p>
        </w:tc>
      </w:tr>
      <w:tr w:rsidR="001A56FF" w:rsidRPr="001F21F3" w:rsidTr="00CA76AB">
        <w:trPr>
          <w:trHeight w:val="373"/>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26</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市级电大非学历教育的发展及其对策研究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舒声</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广东肇庆广播电视大学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Ycx142026</w:t>
            </w:r>
          </w:p>
        </w:tc>
      </w:tr>
      <w:tr w:rsidR="001A56FF" w:rsidRPr="001F21F3" w:rsidTr="00CA76AB">
        <w:trPr>
          <w:trHeight w:val="415"/>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27</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成人继续教育数字化网络平台建设研究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刘炜</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广州番禺职业技术学院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Ycx142027</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28</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我国终生教育立法价值取向问题研究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文川</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广东工商职业学院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Ycx142028</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29</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成人继续教育质量监测与评估体系研究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纪广月</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广东工商职业学院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Ycx142029</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30</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珠海高校继续教育协同创新体制机制研究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杨会战</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北京理工大学珠海学院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Ycx142030</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31</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基层成人教育机构利用“慕课”平台实现教学改革的研究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丁婉怡</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珠海城市职业技术学院</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Ycx142031</w:t>
            </w:r>
          </w:p>
        </w:tc>
      </w:tr>
      <w:tr w:rsidR="001A56FF" w:rsidRPr="001F21F3" w:rsidTr="00CA76AB">
        <w:trPr>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32</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当前成人在职学习困境调查</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金日坚</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广东省林业职业技术学校</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Ycx142032</w:t>
            </w:r>
          </w:p>
        </w:tc>
      </w:tr>
      <w:tr w:rsidR="001A56FF" w:rsidRPr="001F21F3" w:rsidTr="00CA76AB">
        <w:trPr>
          <w:jc w:val="center"/>
        </w:trPr>
        <w:tc>
          <w:tcPr>
            <w:tcW w:w="737" w:type="dxa"/>
            <w:vAlign w:val="center"/>
          </w:tcPr>
          <w:p w:rsidR="001A56FF" w:rsidRPr="001172C6" w:rsidRDefault="001A56FF" w:rsidP="00CA76AB">
            <w:pPr>
              <w:jc w:val="center"/>
              <w:rPr>
                <w:rFonts w:ascii="仿宋_GB2312" w:eastAsia="仿宋_GB2312" w:hAnsi="仿宋" w:cs="宋体"/>
                <w:bCs/>
                <w:kern w:val="36"/>
                <w:sz w:val="24"/>
                <w:szCs w:val="24"/>
              </w:rPr>
            </w:pPr>
            <w:r w:rsidRPr="001172C6">
              <w:rPr>
                <w:rFonts w:ascii="仿宋_GB2312" w:eastAsia="仿宋_GB2312" w:hAnsi="仿宋" w:cs="宋体"/>
                <w:bCs/>
                <w:kern w:val="36"/>
                <w:sz w:val="24"/>
                <w:szCs w:val="24"/>
              </w:rPr>
              <w:t>33</w:t>
            </w:r>
          </w:p>
        </w:tc>
        <w:tc>
          <w:tcPr>
            <w:tcW w:w="3402" w:type="dxa"/>
            <w:vAlign w:val="center"/>
          </w:tcPr>
          <w:p w:rsidR="001A56FF" w:rsidRPr="001172C6" w:rsidRDefault="001A56FF" w:rsidP="00CA76AB">
            <w:pPr>
              <w:jc w:val="left"/>
              <w:rPr>
                <w:rFonts w:ascii="仿宋_GB2312" w:eastAsia="仿宋_GB2312" w:hAnsi="仿宋"/>
                <w:sz w:val="24"/>
                <w:szCs w:val="24"/>
              </w:rPr>
            </w:pPr>
            <w:r w:rsidRPr="001172C6">
              <w:rPr>
                <w:rStyle w:val="Strong"/>
                <w:rFonts w:ascii="仿宋_GB2312" w:eastAsia="仿宋_GB2312" w:hAnsi="仿宋" w:hint="eastAsia"/>
                <w:b w:val="0"/>
                <w:sz w:val="24"/>
                <w:szCs w:val="24"/>
              </w:rPr>
              <w:t>加强学校体育工作推进社会体育活动开展的研究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符德继</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广东省财经职业技术学校</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Ycx142033</w:t>
            </w:r>
          </w:p>
        </w:tc>
      </w:tr>
      <w:tr w:rsidR="001A56FF" w:rsidRPr="001F21F3" w:rsidTr="00CA76AB">
        <w:trPr>
          <w:trHeight w:val="409"/>
          <w:jc w:val="center"/>
        </w:trPr>
        <w:tc>
          <w:tcPr>
            <w:tcW w:w="737" w:type="dxa"/>
            <w:vAlign w:val="center"/>
          </w:tcPr>
          <w:p w:rsidR="001A56FF" w:rsidRPr="001F21F3" w:rsidRDefault="001A56FF" w:rsidP="00CA76AB">
            <w:pPr>
              <w:jc w:val="center"/>
              <w:rPr>
                <w:rFonts w:ascii="仿宋_GB2312" w:eastAsia="仿宋_GB2312" w:hAnsi="仿宋" w:cs="宋体"/>
                <w:bCs/>
                <w:kern w:val="36"/>
                <w:sz w:val="24"/>
                <w:szCs w:val="24"/>
              </w:rPr>
            </w:pPr>
            <w:r w:rsidRPr="001F21F3">
              <w:rPr>
                <w:rFonts w:ascii="仿宋_GB2312" w:eastAsia="仿宋_GB2312" w:hAnsi="仿宋" w:cs="宋体"/>
                <w:bCs/>
                <w:kern w:val="36"/>
                <w:sz w:val="24"/>
                <w:szCs w:val="24"/>
              </w:rPr>
              <w:t>34</w:t>
            </w:r>
          </w:p>
        </w:tc>
        <w:tc>
          <w:tcPr>
            <w:tcW w:w="3402"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基于</w:t>
            </w:r>
            <w:r w:rsidRPr="001F21F3">
              <w:rPr>
                <w:rFonts w:ascii="仿宋_GB2312" w:eastAsia="仿宋_GB2312" w:hAnsi="仿宋"/>
                <w:sz w:val="24"/>
                <w:szCs w:val="24"/>
              </w:rPr>
              <w:t>4G</w:t>
            </w:r>
            <w:r w:rsidRPr="001F21F3">
              <w:rPr>
                <w:rFonts w:ascii="仿宋_GB2312" w:eastAsia="仿宋_GB2312" w:hAnsi="仿宋" w:hint="eastAsia"/>
                <w:sz w:val="24"/>
                <w:szCs w:val="24"/>
              </w:rPr>
              <w:t>网络环境微信公众平台的成人移动学习模式实证研究</w:t>
            </w:r>
          </w:p>
        </w:tc>
        <w:tc>
          <w:tcPr>
            <w:tcW w:w="96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hAnsi="仿宋" w:hint="eastAsia"/>
                <w:sz w:val="24"/>
                <w:szCs w:val="24"/>
              </w:rPr>
              <w:t>尹帮治</w:t>
            </w:r>
          </w:p>
        </w:tc>
        <w:tc>
          <w:tcPr>
            <w:tcW w:w="2351" w:type="dxa"/>
            <w:vAlign w:val="center"/>
          </w:tcPr>
          <w:p w:rsidR="001A56FF" w:rsidRPr="001F21F3" w:rsidRDefault="001A56FF" w:rsidP="00CA76AB">
            <w:pPr>
              <w:jc w:val="left"/>
              <w:rPr>
                <w:rFonts w:ascii="仿宋_GB2312" w:eastAsia="仿宋_GB2312" w:hAnsi="仿宋"/>
                <w:sz w:val="24"/>
                <w:szCs w:val="24"/>
              </w:rPr>
            </w:pPr>
            <w:r w:rsidRPr="001F21F3">
              <w:rPr>
                <w:rFonts w:ascii="仿宋_GB2312" w:eastAsia="仿宋_GB2312" w:hAnsi="仿宋" w:hint="eastAsia"/>
                <w:sz w:val="24"/>
                <w:szCs w:val="24"/>
              </w:rPr>
              <w:t>河源市广播电视大学</w:t>
            </w:r>
          </w:p>
        </w:tc>
        <w:tc>
          <w:tcPr>
            <w:tcW w:w="1304" w:type="dxa"/>
            <w:vAlign w:val="center"/>
          </w:tcPr>
          <w:p w:rsidR="001A56FF" w:rsidRPr="001F21F3" w:rsidRDefault="001A56FF" w:rsidP="00CA76AB">
            <w:pPr>
              <w:jc w:val="center"/>
              <w:rPr>
                <w:rFonts w:ascii="仿宋_GB2312" w:eastAsia="仿宋_GB2312" w:hAnsi="仿宋"/>
                <w:sz w:val="24"/>
                <w:szCs w:val="24"/>
              </w:rPr>
            </w:pPr>
            <w:r w:rsidRPr="001F21F3">
              <w:rPr>
                <w:rFonts w:ascii="仿宋_GB2312" w:eastAsia="仿宋_GB2312"/>
                <w:sz w:val="24"/>
                <w:szCs w:val="24"/>
              </w:rPr>
              <w:t>Ycx142034</w:t>
            </w:r>
          </w:p>
        </w:tc>
      </w:tr>
    </w:tbl>
    <w:p w:rsidR="001A56FF" w:rsidRDefault="001A56FF"/>
    <w:sectPr w:rsidR="001A56FF" w:rsidSect="00FA5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8501D"/>
    <w:multiLevelType w:val="hybridMultilevel"/>
    <w:tmpl w:val="E182EF86"/>
    <w:lvl w:ilvl="0" w:tplc="995612C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BD0"/>
    <w:rsid w:val="001172C6"/>
    <w:rsid w:val="001A56FF"/>
    <w:rsid w:val="001F21F3"/>
    <w:rsid w:val="0054498E"/>
    <w:rsid w:val="00B52BD0"/>
    <w:rsid w:val="00BC535F"/>
    <w:rsid w:val="00CA76AB"/>
    <w:rsid w:val="00CB1453"/>
    <w:rsid w:val="00FA5A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D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2BD0"/>
    <w:pPr>
      <w:ind w:firstLineChars="200" w:firstLine="420"/>
    </w:pPr>
  </w:style>
  <w:style w:type="character" w:styleId="Strong">
    <w:name w:val="Strong"/>
    <w:basedOn w:val="DefaultParagraphFont"/>
    <w:uiPriority w:val="99"/>
    <w:qFormat/>
    <w:rsid w:val="00B52BD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377</Words>
  <Characters>2150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3</cp:revision>
  <dcterms:created xsi:type="dcterms:W3CDTF">2015-05-26T03:18:00Z</dcterms:created>
  <dcterms:modified xsi:type="dcterms:W3CDTF">2015-05-27T03:28:00Z</dcterms:modified>
</cp:coreProperties>
</file>