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F9" w:rsidRDefault="007355F9" w:rsidP="001733B2">
      <w:pPr>
        <w:widowControl/>
        <w:spacing w:line="360" w:lineRule="auto"/>
        <w:rPr>
          <w:rFonts w:ascii="宋体" w:cs="宋体"/>
          <w:bCs/>
          <w:kern w:val="0"/>
          <w:sz w:val="24"/>
        </w:rPr>
      </w:pPr>
      <w:r>
        <w:rPr>
          <w:rFonts w:ascii="宋体" w:hAnsi="宋体" w:cs="宋体" w:hint="eastAsia"/>
          <w:bCs/>
          <w:kern w:val="0"/>
          <w:sz w:val="24"/>
        </w:rPr>
        <w:t>附件</w:t>
      </w:r>
      <w:r>
        <w:rPr>
          <w:rFonts w:ascii="宋体" w:hAnsi="宋体" w:cs="宋体"/>
          <w:bCs/>
          <w:kern w:val="0"/>
          <w:sz w:val="24"/>
        </w:rPr>
        <w:t>1</w:t>
      </w:r>
      <w:r>
        <w:rPr>
          <w:rFonts w:ascii="宋体" w:hAnsi="宋体" w:cs="宋体" w:hint="eastAsia"/>
          <w:bCs/>
          <w:kern w:val="0"/>
          <w:sz w:val="24"/>
        </w:rPr>
        <w:t>：</w:t>
      </w:r>
    </w:p>
    <w:p w:rsidR="007355F9" w:rsidRDefault="007355F9" w:rsidP="001733B2">
      <w:pPr>
        <w:widowControl/>
        <w:spacing w:line="360" w:lineRule="auto"/>
        <w:jc w:val="center"/>
        <w:rPr>
          <w:rFonts w:ascii="宋体" w:cs="宋体"/>
          <w:b/>
          <w:bCs/>
          <w:kern w:val="0"/>
          <w:sz w:val="32"/>
          <w:szCs w:val="32"/>
        </w:rPr>
      </w:pPr>
      <w:r>
        <w:rPr>
          <w:rFonts w:ascii="宋体" w:hAnsi="宋体" w:cs="宋体" w:hint="eastAsia"/>
          <w:b/>
          <w:bCs/>
          <w:kern w:val="0"/>
          <w:sz w:val="32"/>
          <w:szCs w:val="32"/>
        </w:rPr>
        <w:t>关于评选表彰广东省成人教育先进集体及先进工作者</w:t>
      </w:r>
    </w:p>
    <w:p w:rsidR="007355F9" w:rsidRDefault="007355F9" w:rsidP="001733B2">
      <w:pPr>
        <w:widowControl/>
        <w:spacing w:line="360" w:lineRule="auto"/>
        <w:jc w:val="center"/>
        <w:rPr>
          <w:rFonts w:ascii="宋体" w:cs="宋体"/>
          <w:b/>
          <w:bCs/>
          <w:kern w:val="0"/>
          <w:sz w:val="32"/>
          <w:szCs w:val="32"/>
        </w:rPr>
      </w:pPr>
      <w:r>
        <w:rPr>
          <w:rFonts w:ascii="宋体" w:hAnsi="宋体" w:cs="宋体" w:hint="eastAsia"/>
          <w:b/>
          <w:bCs/>
          <w:kern w:val="0"/>
          <w:sz w:val="32"/>
          <w:szCs w:val="32"/>
        </w:rPr>
        <w:t>推荐名额分配表</w:t>
      </w:r>
    </w:p>
    <w:tbl>
      <w:tblPr>
        <w:tblpPr w:leftFromText="30" w:rightFromText="30" w:vertAnchor="text" w:horzAnchor="margin" w:tblpXSpec="center" w:tblpY="526"/>
        <w:tblW w:w="8428"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A0"/>
      </w:tblPr>
      <w:tblGrid>
        <w:gridCol w:w="1190"/>
        <w:gridCol w:w="2228"/>
        <w:gridCol w:w="2253"/>
        <w:gridCol w:w="2757"/>
      </w:tblGrid>
      <w:tr w:rsidR="007355F9" w:rsidRPr="006A35A5" w:rsidTr="00464D44">
        <w:trPr>
          <w:trHeight w:val="680"/>
          <w:tblCellSpacing w:w="0" w:type="dxa"/>
        </w:trPr>
        <w:tc>
          <w:tcPr>
            <w:tcW w:w="1190" w:type="dxa"/>
            <w:vAlign w:val="center"/>
          </w:tcPr>
          <w:p w:rsidR="007355F9" w:rsidRPr="006A35A5" w:rsidRDefault="007355F9">
            <w:pPr>
              <w:widowControl/>
              <w:spacing w:before="100" w:beforeAutospacing="1" w:after="100" w:afterAutospacing="1"/>
              <w:jc w:val="center"/>
              <w:rPr>
                <w:rFonts w:ascii="仿宋_GB2312" w:eastAsia="仿宋_GB2312" w:cs="宋体"/>
                <w:kern w:val="0"/>
                <w:sz w:val="24"/>
              </w:rPr>
            </w:pPr>
            <w:r w:rsidRPr="006A35A5">
              <w:rPr>
                <w:rFonts w:ascii="仿宋_GB2312" w:eastAsia="仿宋_GB2312" w:hAnsi="宋体" w:cs="宋体" w:hint="eastAsia"/>
                <w:bCs/>
                <w:kern w:val="0"/>
                <w:sz w:val="24"/>
              </w:rPr>
              <w:t>单</w:t>
            </w:r>
            <w:r w:rsidRPr="006A35A5">
              <w:rPr>
                <w:rFonts w:ascii="仿宋_GB2312" w:eastAsia="仿宋_GB2312" w:hAnsi="宋体" w:cs="宋体"/>
                <w:bCs/>
                <w:kern w:val="0"/>
                <w:sz w:val="24"/>
              </w:rPr>
              <w:t xml:space="preserve"> </w:t>
            </w:r>
            <w:r w:rsidRPr="006A35A5">
              <w:rPr>
                <w:rFonts w:ascii="仿宋_GB2312" w:eastAsia="仿宋_GB2312" w:hAnsi="宋体" w:cs="宋体" w:hint="eastAsia"/>
                <w:bCs/>
                <w:kern w:val="0"/>
                <w:sz w:val="24"/>
              </w:rPr>
              <w:t>位</w:t>
            </w:r>
          </w:p>
        </w:tc>
        <w:tc>
          <w:tcPr>
            <w:tcW w:w="2228" w:type="dxa"/>
            <w:vAlign w:val="center"/>
          </w:tcPr>
          <w:p w:rsidR="007355F9" w:rsidRPr="006A35A5" w:rsidRDefault="007355F9">
            <w:pPr>
              <w:widowControl/>
              <w:spacing w:before="100" w:beforeAutospacing="1" w:after="100" w:afterAutospacing="1"/>
              <w:jc w:val="center"/>
              <w:rPr>
                <w:rFonts w:ascii="仿宋_GB2312" w:eastAsia="仿宋_GB2312" w:cs="宋体"/>
                <w:bCs/>
                <w:kern w:val="0"/>
                <w:sz w:val="24"/>
              </w:rPr>
            </w:pPr>
            <w:r w:rsidRPr="006A35A5">
              <w:rPr>
                <w:rFonts w:ascii="仿宋_GB2312" w:eastAsia="仿宋_GB2312" w:hAnsi="宋体" w:cs="宋体" w:hint="eastAsia"/>
                <w:bCs/>
                <w:kern w:val="0"/>
                <w:sz w:val="24"/>
              </w:rPr>
              <w:t>先进集体</w:t>
            </w:r>
          </w:p>
          <w:p w:rsidR="007355F9" w:rsidRPr="006A35A5" w:rsidRDefault="007355F9">
            <w:pPr>
              <w:widowControl/>
              <w:spacing w:before="100" w:beforeAutospacing="1" w:after="100" w:afterAutospacing="1"/>
              <w:jc w:val="center"/>
              <w:rPr>
                <w:rFonts w:ascii="仿宋_GB2312" w:eastAsia="仿宋_GB2312" w:cs="宋体"/>
                <w:kern w:val="0"/>
                <w:sz w:val="24"/>
              </w:rPr>
            </w:pPr>
            <w:r w:rsidRPr="006A35A5">
              <w:rPr>
                <w:rFonts w:ascii="仿宋_GB2312" w:eastAsia="仿宋_GB2312" w:hAnsi="宋体" w:cs="宋体" w:hint="eastAsia"/>
                <w:bCs/>
                <w:kern w:val="0"/>
                <w:sz w:val="24"/>
              </w:rPr>
              <w:t>名额分配（个）</w:t>
            </w:r>
          </w:p>
        </w:tc>
        <w:tc>
          <w:tcPr>
            <w:tcW w:w="2253" w:type="dxa"/>
          </w:tcPr>
          <w:p w:rsidR="007355F9" w:rsidRPr="006A35A5" w:rsidRDefault="007355F9">
            <w:pPr>
              <w:widowControl/>
              <w:spacing w:before="100" w:beforeAutospacing="1" w:after="100" w:afterAutospacing="1"/>
              <w:jc w:val="center"/>
              <w:rPr>
                <w:rFonts w:ascii="仿宋_GB2312" w:eastAsia="仿宋_GB2312" w:cs="宋体"/>
                <w:bCs/>
                <w:kern w:val="0"/>
                <w:sz w:val="24"/>
              </w:rPr>
            </w:pPr>
            <w:r w:rsidRPr="006A35A5">
              <w:rPr>
                <w:rFonts w:ascii="仿宋_GB2312" w:eastAsia="仿宋_GB2312" w:hAnsi="宋体" w:cs="宋体" w:hint="eastAsia"/>
                <w:bCs/>
                <w:kern w:val="0"/>
                <w:sz w:val="24"/>
              </w:rPr>
              <w:t>先进工作者</w:t>
            </w:r>
          </w:p>
          <w:p w:rsidR="007355F9" w:rsidRPr="006A35A5" w:rsidRDefault="007355F9">
            <w:pPr>
              <w:widowControl/>
              <w:spacing w:before="100" w:beforeAutospacing="1" w:after="100" w:afterAutospacing="1"/>
              <w:jc w:val="center"/>
              <w:rPr>
                <w:rFonts w:ascii="仿宋_GB2312" w:eastAsia="仿宋_GB2312" w:cs="宋体"/>
                <w:bCs/>
                <w:kern w:val="0"/>
                <w:sz w:val="24"/>
              </w:rPr>
            </w:pPr>
            <w:r w:rsidRPr="006A35A5">
              <w:rPr>
                <w:rFonts w:ascii="仿宋_GB2312" w:eastAsia="仿宋_GB2312" w:hAnsi="宋体" w:cs="宋体" w:hint="eastAsia"/>
                <w:bCs/>
                <w:kern w:val="0"/>
                <w:sz w:val="24"/>
              </w:rPr>
              <w:t>名额分配（人）</w:t>
            </w:r>
          </w:p>
        </w:tc>
        <w:tc>
          <w:tcPr>
            <w:tcW w:w="2757" w:type="dxa"/>
            <w:vAlign w:val="center"/>
          </w:tcPr>
          <w:p w:rsidR="007355F9" w:rsidRPr="006A35A5" w:rsidRDefault="007355F9">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hint="eastAsia"/>
                <w:bCs/>
                <w:kern w:val="0"/>
                <w:sz w:val="24"/>
              </w:rPr>
              <w:t>备</w:t>
            </w:r>
            <w:r w:rsidRPr="006A35A5">
              <w:rPr>
                <w:rFonts w:ascii="仿宋_GB2312" w:eastAsia="仿宋_GB2312" w:hAnsi="宋体" w:cs="宋体"/>
                <w:bCs/>
                <w:kern w:val="0"/>
                <w:sz w:val="24"/>
              </w:rPr>
              <w:t xml:space="preserve"> </w:t>
            </w:r>
            <w:r w:rsidRPr="006A35A5">
              <w:rPr>
                <w:rFonts w:ascii="仿宋_GB2312" w:eastAsia="仿宋_GB2312" w:hAnsi="宋体" w:cs="宋体" w:hint="eastAsia"/>
                <w:bCs/>
                <w:kern w:val="0"/>
                <w:sz w:val="24"/>
              </w:rPr>
              <w:t>注</w:t>
            </w:r>
          </w:p>
        </w:tc>
      </w:tr>
      <w:tr w:rsidR="007355F9" w:rsidRPr="006A35A5" w:rsidTr="00534CC5">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普高成教专业委员会</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6</w:t>
            </w:r>
          </w:p>
        </w:tc>
        <w:tc>
          <w:tcPr>
            <w:tcW w:w="2253"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6</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534CC5">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18"/>
                <w:szCs w:val="18"/>
              </w:rPr>
            </w:pPr>
            <w:r w:rsidRPr="006A35A5">
              <w:rPr>
                <w:rFonts w:ascii="仿宋_GB2312" w:eastAsia="仿宋_GB2312" w:hAnsi="宋体" w:cs="宋体" w:hint="eastAsia"/>
                <w:kern w:val="0"/>
                <w:sz w:val="18"/>
                <w:szCs w:val="18"/>
              </w:rPr>
              <w:t>高职高专成教专业委员会</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6</w:t>
            </w:r>
          </w:p>
        </w:tc>
        <w:tc>
          <w:tcPr>
            <w:tcW w:w="2253"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6</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534CC5">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民办成教专业委员会</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2</w:t>
            </w:r>
          </w:p>
        </w:tc>
        <w:tc>
          <w:tcPr>
            <w:tcW w:w="2253"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2</w:t>
            </w:r>
          </w:p>
        </w:tc>
        <w:tc>
          <w:tcPr>
            <w:tcW w:w="2757" w:type="dxa"/>
            <w:vMerge w:val="restart"/>
            <w:vAlign w:val="center"/>
          </w:tcPr>
          <w:p w:rsidR="007355F9" w:rsidRPr="006A35A5" w:rsidRDefault="007355F9" w:rsidP="004623DB">
            <w:pPr>
              <w:widowControl/>
              <w:jc w:val="left"/>
              <w:rPr>
                <w:rFonts w:ascii="仿宋_GB2312" w:eastAsia="仿宋_GB2312" w:cs="宋体"/>
                <w:kern w:val="0"/>
                <w:sz w:val="24"/>
              </w:rPr>
            </w:pPr>
            <w:r w:rsidRPr="006A35A5">
              <w:rPr>
                <w:rFonts w:ascii="仿宋_GB2312" w:eastAsia="仿宋_GB2312" w:hAnsi="宋体" w:cs="宋体" w:hint="eastAsia"/>
                <w:kern w:val="0"/>
                <w:szCs w:val="21"/>
              </w:rPr>
              <w:t>只推荐省属单位；市属会员单位由</w:t>
            </w:r>
            <w:r w:rsidRPr="006A35A5">
              <w:rPr>
                <w:rFonts w:ascii="仿宋_GB2312" w:eastAsia="仿宋_GB2312" w:hAnsi="宋体" w:cs="宋体" w:hint="eastAsia"/>
                <w:bCs/>
                <w:kern w:val="0"/>
                <w:szCs w:val="21"/>
              </w:rPr>
              <w:t>各市协会推荐</w:t>
            </w:r>
          </w:p>
        </w:tc>
      </w:tr>
      <w:tr w:rsidR="007355F9" w:rsidRPr="006A35A5" w:rsidTr="00534CC5">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社区教育专业委员会</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2</w:t>
            </w:r>
          </w:p>
        </w:tc>
        <w:tc>
          <w:tcPr>
            <w:tcW w:w="2253"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2</w:t>
            </w:r>
          </w:p>
        </w:tc>
        <w:tc>
          <w:tcPr>
            <w:tcW w:w="2757" w:type="dxa"/>
            <w:vMerge/>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534CC5">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农村成教专业委员会</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2</w:t>
            </w:r>
          </w:p>
        </w:tc>
        <w:tc>
          <w:tcPr>
            <w:tcW w:w="2253"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2</w:t>
            </w:r>
          </w:p>
        </w:tc>
        <w:tc>
          <w:tcPr>
            <w:tcW w:w="2757" w:type="dxa"/>
            <w:vMerge/>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534CC5">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省电大</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534CC5">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广州电大</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534CC5">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深圳电大</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534CC5">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省直（含个人会员）</w:t>
            </w:r>
          </w:p>
        </w:tc>
        <w:tc>
          <w:tcPr>
            <w:tcW w:w="2228" w:type="dxa"/>
            <w:vAlign w:val="center"/>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4</w:t>
            </w:r>
          </w:p>
        </w:tc>
        <w:tc>
          <w:tcPr>
            <w:tcW w:w="2253" w:type="dxa"/>
            <w:vAlign w:val="center"/>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4</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广州市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12</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12</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深圳市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11</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11</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珠海市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5</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汕头市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spacing w:before="100" w:beforeAutospacing="1" w:after="100" w:afterAutospacing="1" w:line="280" w:lineRule="atLeas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佛山市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5</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中山市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6</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6</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color w:val="000000"/>
                <w:kern w:val="0"/>
                <w:szCs w:val="21"/>
              </w:rPr>
            </w:pPr>
            <w:r w:rsidRPr="006A35A5">
              <w:rPr>
                <w:rFonts w:ascii="仿宋_GB2312" w:eastAsia="仿宋_GB2312" w:hAnsi="宋体" w:cs="宋体" w:hint="eastAsia"/>
                <w:color w:val="000000"/>
                <w:kern w:val="0"/>
                <w:szCs w:val="21"/>
              </w:rPr>
              <w:t>东莞市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253" w:type="dxa"/>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757" w:type="dxa"/>
            <w:vAlign w:val="center"/>
          </w:tcPr>
          <w:p w:rsidR="007355F9" w:rsidRPr="006A35A5" w:rsidRDefault="007355F9" w:rsidP="004623DB">
            <w:pPr>
              <w:widowControl/>
              <w:spacing w:before="100" w:beforeAutospacing="1" w:after="100" w:afterAutospacing="1" w:line="280" w:lineRule="atLeas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江门市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253" w:type="dxa"/>
          </w:tcPr>
          <w:p w:rsidR="007355F9" w:rsidRPr="006A35A5" w:rsidRDefault="007355F9" w:rsidP="004623DB">
            <w:pPr>
              <w:widowControl/>
              <w:spacing w:before="100" w:beforeAutospacing="1" w:after="100" w:afterAutospacing="1"/>
              <w:jc w:val="center"/>
              <w:rPr>
                <w:rFonts w:ascii="仿宋_GB2312" w:eastAsia="仿宋_GB2312" w:cs="宋体"/>
                <w:kern w:val="0"/>
                <w:sz w:val="24"/>
              </w:rPr>
            </w:pPr>
            <w:r w:rsidRPr="006A35A5">
              <w:rPr>
                <w:rFonts w:ascii="仿宋_GB2312" w:eastAsia="仿宋_GB2312" w:hAnsi="宋体" w:cs="宋体"/>
                <w:kern w:val="0"/>
                <w:sz w:val="24"/>
              </w:rPr>
              <w:t>5</w:t>
            </w:r>
          </w:p>
        </w:tc>
        <w:tc>
          <w:tcPr>
            <w:tcW w:w="2757"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肇庆市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253" w:type="dxa"/>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757"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惠州市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253" w:type="dxa"/>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757"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color w:val="000000"/>
                <w:kern w:val="0"/>
                <w:szCs w:val="21"/>
              </w:rPr>
            </w:pPr>
            <w:r w:rsidRPr="006A35A5">
              <w:rPr>
                <w:rFonts w:ascii="仿宋_GB2312" w:eastAsia="仿宋_GB2312" w:hAnsi="宋体" w:cs="宋体" w:hint="eastAsia"/>
                <w:color w:val="000000"/>
                <w:kern w:val="0"/>
                <w:szCs w:val="21"/>
              </w:rPr>
              <w:t>韶关市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5</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5</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清远市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梅州市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河源市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揭阳市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color w:val="000000"/>
                <w:kern w:val="0"/>
                <w:szCs w:val="21"/>
              </w:rPr>
            </w:pPr>
            <w:r w:rsidRPr="006A35A5">
              <w:rPr>
                <w:rFonts w:ascii="仿宋_GB2312" w:eastAsia="仿宋_GB2312" w:hAnsi="宋体" w:cs="宋体" w:hint="eastAsia"/>
                <w:color w:val="000000"/>
                <w:kern w:val="0"/>
                <w:szCs w:val="21"/>
              </w:rPr>
              <w:t>潮州市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color w:val="000000"/>
                <w:kern w:val="0"/>
                <w:szCs w:val="21"/>
              </w:rPr>
            </w:pPr>
            <w:r w:rsidRPr="006A35A5">
              <w:rPr>
                <w:rFonts w:ascii="仿宋_GB2312" w:eastAsia="仿宋_GB2312" w:hAnsi="宋体" w:cs="宋体" w:hint="eastAsia"/>
                <w:color w:val="000000"/>
                <w:kern w:val="0"/>
                <w:szCs w:val="21"/>
              </w:rPr>
              <w:t>汕尾市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color w:val="000000"/>
                <w:kern w:val="0"/>
                <w:szCs w:val="21"/>
              </w:rPr>
            </w:pPr>
            <w:r w:rsidRPr="006A35A5">
              <w:rPr>
                <w:rFonts w:ascii="仿宋_GB2312" w:eastAsia="仿宋_GB2312" w:hAnsi="宋体" w:cs="宋体" w:hint="eastAsia"/>
                <w:color w:val="000000"/>
                <w:kern w:val="0"/>
                <w:szCs w:val="21"/>
              </w:rPr>
              <w:t>云浮市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color w:val="000000"/>
                <w:kern w:val="0"/>
                <w:szCs w:val="21"/>
              </w:rPr>
            </w:pPr>
            <w:r w:rsidRPr="006A35A5">
              <w:rPr>
                <w:rFonts w:ascii="仿宋_GB2312" w:eastAsia="仿宋_GB2312" w:hAnsi="宋体" w:cs="宋体" w:hint="eastAsia"/>
                <w:color w:val="000000"/>
                <w:kern w:val="0"/>
                <w:szCs w:val="21"/>
              </w:rPr>
              <w:t>阳江市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color w:val="000000"/>
                <w:kern w:val="0"/>
                <w:szCs w:val="21"/>
              </w:rPr>
            </w:pPr>
            <w:r w:rsidRPr="006A35A5">
              <w:rPr>
                <w:rFonts w:ascii="仿宋_GB2312" w:eastAsia="仿宋_GB2312" w:hAnsi="宋体" w:cs="宋体" w:hint="eastAsia"/>
                <w:color w:val="000000"/>
                <w:kern w:val="0"/>
                <w:szCs w:val="21"/>
              </w:rPr>
              <w:t>茂名市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color w:val="000000"/>
                <w:kern w:val="0"/>
                <w:szCs w:val="21"/>
              </w:rPr>
            </w:pPr>
            <w:r w:rsidRPr="006A35A5">
              <w:rPr>
                <w:rFonts w:ascii="仿宋_GB2312" w:eastAsia="仿宋_GB2312" w:hAnsi="宋体" w:cs="宋体" w:hint="eastAsia"/>
                <w:color w:val="000000"/>
                <w:kern w:val="0"/>
                <w:szCs w:val="21"/>
              </w:rPr>
              <w:t>湛江市</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3</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3</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顺德区</w:t>
            </w:r>
          </w:p>
        </w:tc>
        <w:tc>
          <w:tcPr>
            <w:tcW w:w="2228"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 w:val="24"/>
              </w:rPr>
            </w:pPr>
            <w:r w:rsidRPr="006A35A5">
              <w:rPr>
                <w:rFonts w:ascii="仿宋_GB2312" w:eastAsia="仿宋_GB2312" w:hAnsi="宋体" w:cs="宋体"/>
                <w:kern w:val="0"/>
                <w:sz w:val="24"/>
              </w:rPr>
              <w:t>1</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1</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r w:rsidR="007355F9" w:rsidRPr="006A35A5" w:rsidTr="00464D44">
        <w:trPr>
          <w:tblCellSpacing w:w="0" w:type="dxa"/>
        </w:trPr>
        <w:tc>
          <w:tcPr>
            <w:tcW w:w="1190" w:type="dxa"/>
            <w:vAlign w:val="center"/>
          </w:tcPr>
          <w:p w:rsidR="007355F9" w:rsidRPr="006A35A5" w:rsidRDefault="007355F9" w:rsidP="004623DB">
            <w:pPr>
              <w:widowControl/>
              <w:spacing w:before="100" w:beforeAutospacing="1" w:after="100" w:afterAutospacing="1" w:line="280" w:lineRule="atLeast"/>
              <w:jc w:val="center"/>
              <w:rPr>
                <w:rFonts w:ascii="仿宋_GB2312" w:eastAsia="仿宋_GB2312" w:cs="宋体"/>
                <w:kern w:val="0"/>
                <w:szCs w:val="21"/>
              </w:rPr>
            </w:pPr>
            <w:r w:rsidRPr="006A35A5">
              <w:rPr>
                <w:rFonts w:ascii="仿宋_GB2312" w:eastAsia="仿宋_GB2312" w:hAnsi="宋体" w:cs="宋体" w:hint="eastAsia"/>
                <w:kern w:val="0"/>
                <w:szCs w:val="21"/>
              </w:rPr>
              <w:t>合</w:t>
            </w:r>
            <w:r w:rsidRPr="006A35A5">
              <w:rPr>
                <w:rFonts w:ascii="仿宋_GB2312" w:eastAsia="仿宋_GB2312" w:hAnsi="宋体" w:cs="宋体"/>
                <w:kern w:val="0"/>
                <w:szCs w:val="21"/>
              </w:rPr>
              <w:t xml:space="preserve">  </w:t>
            </w:r>
            <w:r w:rsidRPr="006A35A5">
              <w:rPr>
                <w:rFonts w:ascii="仿宋_GB2312" w:eastAsia="仿宋_GB2312" w:hAnsi="宋体" w:cs="宋体" w:hint="eastAsia"/>
                <w:kern w:val="0"/>
                <w:szCs w:val="21"/>
              </w:rPr>
              <w:t>计</w:t>
            </w:r>
          </w:p>
        </w:tc>
        <w:tc>
          <w:tcPr>
            <w:tcW w:w="2228" w:type="dxa"/>
            <w:vAlign w:val="center"/>
          </w:tcPr>
          <w:p w:rsidR="007355F9" w:rsidRPr="006A35A5" w:rsidRDefault="007355F9" w:rsidP="007355F9">
            <w:pPr>
              <w:widowControl/>
              <w:spacing w:before="100" w:beforeAutospacing="1" w:after="100" w:afterAutospacing="1" w:line="280" w:lineRule="atLeast"/>
              <w:ind w:firstLineChars="350" w:firstLine="31680"/>
              <w:rPr>
                <w:rFonts w:ascii="仿宋_GB2312" w:eastAsia="仿宋_GB2312" w:cs="宋体"/>
                <w:kern w:val="0"/>
                <w:sz w:val="24"/>
              </w:rPr>
            </w:pPr>
            <w:r w:rsidRPr="006A35A5">
              <w:rPr>
                <w:rFonts w:ascii="仿宋_GB2312" w:eastAsia="仿宋_GB2312" w:hAnsi="宋体" w:cs="宋体"/>
                <w:kern w:val="0"/>
                <w:sz w:val="24"/>
              </w:rPr>
              <w:t>129</w:t>
            </w:r>
          </w:p>
        </w:tc>
        <w:tc>
          <w:tcPr>
            <w:tcW w:w="2253" w:type="dxa"/>
          </w:tcPr>
          <w:p w:rsidR="007355F9" w:rsidRPr="006A35A5" w:rsidRDefault="007355F9" w:rsidP="004623DB">
            <w:pPr>
              <w:widowControl/>
              <w:jc w:val="center"/>
              <w:rPr>
                <w:rFonts w:ascii="仿宋_GB2312" w:eastAsia="仿宋_GB2312" w:cs="宋体"/>
                <w:kern w:val="0"/>
                <w:sz w:val="24"/>
              </w:rPr>
            </w:pPr>
            <w:r w:rsidRPr="006A35A5">
              <w:rPr>
                <w:rFonts w:ascii="仿宋_GB2312" w:eastAsia="仿宋_GB2312" w:hAnsi="宋体" w:cs="宋体"/>
                <w:kern w:val="0"/>
                <w:sz w:val="24"/>
              </w:rPr>
              <w:t>129</w:t>
            </w:r>
          </w:p>
        </w:tc>
        <w:tc>
          <w:tcPr>
            <w:tcW w:w="2757" w:type="dxa"/>
            <w:vAlign w:val="center"/>
          </w:tcPr>
          <w:p w:rsidR="007355F9" w:rsidRPr="006A35A5" w:rsidRDefault="007355F9" w:rsidP="004623DB">
            <w:pPr>
              <w:widowControl/>
              <w:jc w:val="left"/>
              <w:rPr>
                <w:rFonts w:ascii="仿宋_GB2312" w:eastAsia="仿宋_GB2312" w:cs="宋体"/>
                <w:kern w:val="0"/>
                <w:sz w:val="24"/>
              </w:rPr>
            </w:pPr>
          </w:p>
        </w:tc>
      </w:tr>
    </w:tbl>
    <w:p w:rsidR="007355F9" w:rsidRDefault="007355F9" w:rsidP="00214DEB">
      <w:pPr>
        <w:widowControl/>
        <w:rPr>
          <w:rFonts w:ascii="仿宋_GB2312" w:eastAsia="仿宋_GB2312" w:hAnsi="宋体" w:cs="宋体"/>
          <w:b/>
          <w:bCs/>
          <w:kern w:val="0"/>
          <w:sz w:val="24"/>
        </w:rPr>
      </w:pPr>
    </w:p>
    <w:p w:rsidR="007355F9" w:rsidRPr="006A35A5" w:rsidRDefault="007355F9" w:rsidP="00214DEB">
      <w:pPr>
        <w:widowControl/>
        <w:rPr>
          <w:rFonts w:ascii="仿宋_GB2312" w:eastAsia="仿宋_GB2312" w:cs="宋体"/>
          <w:b/>
          <w:bCs/>
          <w:kern w:val="0"/>
          <w:sz w:val="24"/>
        </w:rPr>
      </w:pPr>
      <w:r w:rsidRPr="006A35A5">
        <w:rPr>
          <w:rFonts w:ascii="仿宋_GB2312" w:eastAsia="仿宋_GB2312" w:hAnsi="宋体" w:cs="宋体" w:hint="eastAsia"/>
          <w:b/>
          <w:bCs/>
          <w:kern w:val="0"/>
          <w:sz w:val="24"/>
        </w:rPr>
        <w:t>注：关于评选表彰广东省成人教育先进集体及先进工作者推荐名额分配说明</w:t>
      </w:r>
    </w:p>
    <w:p w:rsidR="007355F9" w:rsidRPr="006A35A5" w:rsidRDefault="007355F9" w:rsidP="006A35A5">
      <w:pPr>
        <w:widowControl/>
        <w:ind w:firstLineChars="200" w:firstLine="31680"/>
        <w:rPr>
          <w:rFonts w:ascii="仿宋_GB2312" w:eastAsia="仿宋_GB2312" w:cs="宋体"/>
          <w:bCs/>
          <w:kern w:val="0"/>
          <w:sz w:val="24"/>
        </w:rPr>
      </w:pPr>
      <w:r w:rsidRPr="006A35A5">
        <w:rPr>
          <w:rFonts w:ascii="仿宋_GB2312" w:eastAsia="仿宋_GB2312" w:hAnsi="宋体" w:cs="宋体"/>
          <w:kern w:val="0"/>
          <w:sz w:val="24"/>
        </w:rPr>
        <w:t>1.</w:t>
      </w:r>
      <w:r w:rsidRPr="006A35A5">
        <w:rPr>
          <w:rFonts w:ascii="仿宋_GB2312" w:eastAsia="仿宋_GB2312" w:hAnsi="宋体" w:cs="宋体" w:hint="eastAsia"/>
          <w:kern w:val="0"/>
          <w:sz w:val="24"/>
        </w:rPr>
        <w:t>名额分配参考因素包括：人口基数、各级各类成人教育学校数、学生数、成人教育开展情况以及参与省成人教育协会活动的情况。根据《关于评选表彰广东省成人教育先进集体和先进工作者的通知》精神，上报名额可在分配名额的基础上增加</w:t>
      </w:r>
      <w:r w:rsidRPr="006A35A5">
        <w:rPr>
          <w:rFonts w:ascii="仿宋_GB2312" w:eastAsia="仿宋_GB2312" w:hAnsi="宋体" w:cs="宋体"/>
          <w:kern w:val="0"/>
          <w:sz w:val="24"/>
        </w:rPr>
        <w:t>20%</w:t>
      </w:r>
      <w:r w:rsidRPr="006A35A5">
        <w:rPr>
          <w:rFonts w:ascii="仿宋_GB2312" w:eastAsia="仿宋_GB2312" w:hAnsi="宋体" w:cs="宋体" w:hint="eastAsia"/>
          <w:kern w:val="0"/>
          <w:sz w:val="24"/>
        </w:rPr>
        <w:t>，并按序排列。</w:t>
      </w:r>
    </w:p>
    <w:p w:rsidR="007355F9" w:rsidRPr="00214DEB" w:rsidRDefault="007355F9" w:rsidP="006A35A5">
      <w:pPr>
        <w:widowControl/>
        <w:ind w:firstLineChars="200" w:firstLine="31680"/>
        <w:rPr>
          <w:rFonts w:ascii="宋体" w:cs="宋体"/>
          <w:bCs/>
          <w:kern w:val="0"/>
          <w:sz w:val="24"/>
        </w:rPr>
      </w:pPr>
      <w:r w:rsidRPr="006A35A5">
        <w:rPr>
          <w:rFonts w:ascii="仿宋_GB2312" w:eastAsia="仿宋_GB2312" w:hAnsi="宋体" w:cs="宋体"/>
          <w:kern w:val="0"/>
          <w:sz w:val="24"/>
        </w:rPr>
        <w:t>2.</w:t>
      </w:r>
      <w:r w:rsidRPr="006A35A5">
        <w:rPr>
          <w:rFonts w:ascii="仿宋_GB2312" w:eastAsia="仿宋_GB2312" w:hAnsi="宋体" w:cs="宋体" w:hint="eastAsia"/>
          <w:kern w:val="0"/>
          <w:sz w:val="24"/>
        </w:rPr>
        <w:t>广东省成人教育协会各专业委员会及地市成教协会自荐先进集体的数量不占分配名额，符合条件的</w:t>
      </w:r>
      <w:r w:rsidRPr="006A35A5">
        <w:rPr>
          <w:rFonts w:ascii="仿宋_GB2312" w:eastAsia="仿宋_GB2312" w:hAnsi="宋体" w:cs="宋体" w:hint="eastAsia"/>
          <w:color w:val="000000"/>
          <w:kern w:val="0"/>
          <w:sz w:val="24"/>
        </w:rPr>
        <w:t>专业委员会及地市成教协会</w:t>
      </w:r>
      <w:bookmarkStart w:id="0" w:name="_GoBack"/>
      <w:bookmarkEnd w:id="0"/>
      <w:r w:rsidRPr="006A35A5">
        <w:rPr>
          <w:rFonts w:ascii="仿宋_GB2312" w:eastAsia="仿宋_GB2312" w:hAnsi="宋体" w:cs="宋体" w:hint="eastAsia"/>
          <w:kern w:val="0"/>
          <w:sz w:val="24"/>
        </w:rPr>
        <w:t>可自荐或</w:t>
      </w:r>
      <w:r w:rsidRPr="006A35A5">
        <w:rPr>
          <w:rFonts w:ascii="仿宋_GB2312" w:eastAsia="仿宋_GB2312" w:hAnsi="宋体" w:cs="宋体" w:hint="eastAsia"/>
          <w:color w:val="000000"/>
          <w:kern w:val="0"/>
          <w:sz w:val="24"/>
        </w:rPr>
        <w:t>由省成教协会、地市教育行政部门</w:t>
      </w:r>
      <w:r w:rsidRPr="006A35A5">
        <w:rPr>
          <w:rFonts w:ascii="仿宋_GB2312" w:eastAsia="仿宋_GB2312" w:hAnsi="宋体" w:cs="宋体" w:hint="eastAsia"/>
          <w:kern w:val="0"/>
          <w:sz w:val="24"/>
        </w:rPr>
        <w:t>推荐。</w:t>
      </w:r>
    </w:p>
    <w:p w:rsidR="007355F9" w:rsidRPr="001733B2" w:rsidRDefault="007355F9"/>
    <w:sectPr w:rsidR="007355F9" w:rsidRPr="001733B2" w:rsidSect="00AD58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3B2"/>
    <w:rsid w:val="001733B2"/>
    <w:rsid w:val="001E7FCA"/>
    <w:rsid w:val="00214DEB"/>
    <w:rsid w:val="002E442F"/>
    <w:rsid w:val="0039414E"/>
    <w:rsid w:val="004623DB"/>
    <w:rsid w:val="00464D44"/>
    <w:rsid w:val="00534CC5"/>
    <w:rsid w:val="005C55BE"/>
    <w:rsid w:val="006A35A5"/>
    <w:rsid w:val="007355F9"/>
    <w:rsid w:val="007D6EA3"/>
    <w:rsid w:val="00AD5801"/>
    <w:rsid w:val="00C3752D"/>
    <w:rsid w:val="00D539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B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3834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2</Pages>
  <Words>104</Words>
  <Characters>594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微软中国</cp:lastModifiedBy>
  <cp:revision>5</cp:revision>
  <dcterms:created xsi:type="dcterms:W3CDTF">2014-02-25T00:48:00Z</dcterms:created>
  <dcterms:modified xsi:type="dcterms:W3CDTF">2014-03-10T03:50:00Z</dcterms:modified>
</cp:coreProperties>
</file>